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357</w:t>
      </w:r>
      <w:r>
        <w:rPr>
          <w:rFonts w:ascii="Times New Roman" w:eastAsia="Times New Roman" w:hAnsi="Times New Roman" w:cs="Times New Roman"/>
          <w:sz w:val="28"/>
          <w:szCs w:val="28"/>
        </w:rPr>
        <w:t>-200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– Мансийского автономного округа – Югры Р.В.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 – Югры,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Уткира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Файзуллоевича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работающего,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и проживающего по адресу: </w:t>
      </w:r>
      <w:r>
        <w:rPr>
          <w:rStyle w:val="cat-UserDefinedgrp-3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Худжамкулов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>, д. 4/1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8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требований п. 6.2, Правил дорожного движения РФ,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 проезд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регулируемый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</w:t>
      </w:r>
      <w:r>
        <w:rPr>
          <w:rFonts w:ascii="Times New Roman" w:eastAsia="Times New Roman" w:hAnsi="Times New Roman" w:cs="Times New Roman"/>
          <w:sz w:val="28"/>
          <w:szCs w:val="28"/>
        </w:rPr>
        <w:t>ул.Аэрофлотская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ул.Домостроителей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будучи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</w:t>
      </w:r>
      <w:r>
        <w:rPr>
          <w:rStyle w:val="cat-UserDefinedgrp-39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надлежащим образом о времени и месте рассмотрения дела, не явился, о причинах неявки суд не уведомил, своего представителя в суд не направил, ходатайств об отложении дела от него не поступало.</w:t>
      </w:r>
    </w:p>
    <w:p>
      <w:pPr>
        <w:widowControl w:val="0"/>
        <w:spacing w:before="0" w:after="0" w:line="322" w:lineRule="atLeast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ст.25.1 КоАП РФ,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письменные материалы дела, судья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совершении административного правонарушения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совокупностью исследованных в судебном заседании нижеследующих письменных доказательств, оцененных судом по правилам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26.11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0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права и обязанности, предусмотренные 25.1 КоАП РФ и ст. 51 Конституции РФ,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>. разъяснены, что подтверждается его подписью в соответствующей графе протокола, копию протокола получил;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ИДПС ОБ ДПС </w:t>
      </w:r>
      <w:r>
        <w:rPr>
          <w:rStyle w:val="cat-ExternalSystemDefinedgrp-37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а/м </w:t>
      </w:r>
      <w:r>
        <w:rPr>
          <w:rStyle w:val="cat-CarMakeModelgrp-28rplc-3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У.Ф., который проехал регулируемый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перекресток </w:t>
      </w:r>
      <w:r>
        <w:rPr>
          <w:rFonts w:ascii="Times New Roman" w:eastAsia="Times New Roman" w:hAnsi="Times New Roman" w:cs="Times New Roman"/>
          <w:sz w:val="28"/>
          <w:szCs w:val="28"/>
        </w:rPr>
        <w:t>ул.Аэрофлотская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ул.Домостроителей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 w:line="259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административного наказания №</w:t>
      </w:r>
      <w:r>
        <w:rPr>
          <w:rStyle w:val="cat-UserDefinedgrp-39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04.12.2023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карточкой операций с 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действительно до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правонарушений;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учета транспортного средства;</w:t>
      </w:r>
    </w:p>
    <w:p>
      <w:pPr>
        <w:spacing w:before="0" w:after="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выкопировкой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сервиса ГИС ГМП, согласно которой административный штраф по постановлению №</w:t>
      </w:r>
      <w:r>
        <w:rPr>
          <w:rStyle w:val="cat-UserDefinedgrp-39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оплачен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 w:line="259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>
        <w:rPr>
          <w:rFonts w:ascii="Calibri" w:eastAsia="Calibri" w:hAnsi="Calibri" w:cs="Calibri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1.5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действовать таким образом, чтобы не создавать опасности для движения и не причинять вреда.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непосредственный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10.1 ПДД РФ выбранная скорость движения должна обеспечивать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Указанная норма налагает на водителя обязанность постоянно анализировать дорожную ситуацию и предпринимать все возможные меры к обеспечению безопасного режима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дорожного движения обязаны знать и соблюдать относящиеся к ним требования Правил, сигналов светофоров, знаков и разметки.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4" w:anchor="sub_6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6.14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4" w:anchor="sub_1002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перекрестка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4" w:anchor="sub_1004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пешеходного перехода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 w:line="315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0106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(знаком 6.16),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 при ее отсутствии: на перекрестке - перед пересекаемой проезжей частью (с учетом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anchor="dst1009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13.7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Правил), не создавая помех пешеходам; перед железнодорожным переездом - в соответствии с пунктом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anchor="dst10034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15.4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</w:rPr>
        <w:t>выезде на регулируемый перекресток на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6.2 ПДД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образует состав рассматриваемого правонарушения. </w:t>
      </w:r>
    </w:p>
    <w:p>
      <w:pPr>
        <w:spacing w:before="0" w:after="0"/>
        <w:ind w:right="26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Собранные по делу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проезд на запрещающий сигнал светофора или на запрещающий жест регулировщика, за исключением случаев,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dst10097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anchor="dst286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статьи,.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ч. 3 ст. 12.12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повторно совершил административное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 ст. 12.12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eastAsia="Times New Roman" w:hAnsi="Times New Roman" w:cs="Times New Roman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У.Ф</w:t>
      </w:r>
      <w:r>
        <w:rPr>
          <w:rFonts w:ascii="Times New Roman" w:eastAsia="Times New Roman" w:hAnsi="Times New Roman" w:cs="Times New Roman"/>
          <w:sz w:val="28"/>
          <w:szCs w:val="28"/>
        </w:rPr>
        <w:t>., его имущественное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совершение однородн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12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и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Худжамкулова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Уткира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Файзуллоевича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правонарушения, предусмотренного ч. 3 ст.12.12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расчетный счет: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03100643000000018700 Получатель УФК по Ханты-Мансийскому автономному округу-Югре (УМВД России по ХМАО-Югре) в РКЦ Ханты-Мансийск/УФК по Ханты-Мансийскому автономному округу-Югре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 007162163, ОКТМО 71818000,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40102810245370000007, КБК 18811601123010001140 УИН 18810486240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7626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widowControl w:val="0"/>
        <w:spacing w:before="0" w:after="0" w:line="259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9">
    <w:name w:val="cat-ExternalSystemDefined grp-36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CarMakeModelgrp-28rplc-19">
    <w:name w:val="cat-CarMakeModel grp-28 rplc-19"/>
    <w:basedOn w:val="DefaultParagraphFont"/>
  </w:style>
  <w:style w:type="character" w:customStyle="1" w:styleId="cat-CarNumbergrp-29rplc-20">
    <w:name w:val="cat-CarNumber grp-29 rplc-20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ExternalSystemDefinedgrp-37rplc-34">
    <w:name w:val="cat-ExternalSystemDefined grp-37 rplc-34"/>
    <w:basedOn w:val="DefaultParagraphFont"/>
  </w:style>
  <w:style w:type="character" w:customStyle="1" w:styleId="cat-CarMakeModelgrp-28rplc-38">
    <w:name w:val="cat-CarMakeModel grp-28 rplc-38"/>
    <w:basedOn w:val="DefaultParagraphFont"/>
  </w:style>
  <w:style w:type="character" w:customStyle="1" w:styleId="cat-CarNumbergrp-29rplc-39">
    <w:name w:val="cat-CarNumber grp-29 rplc-39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39rplc-50">
    <w:name w:val="cat-UserDefined grp-39 rplc-50"/>
    <w:basedOn w:val="DefaultParagraphFont"/>
  </w:style>
  <w:style w:type="character" w:customStyle="1" w:styleId="cat-UserDefinedgrp-41rplc-66">
    <w:name w:val="cat-UserDefined grp-41 rplc-66"/>
    <w:basedOn w:val="DefaultParagraphFont"/>
  </w:style>
  <w:style w:type="character" w:customStyle="1" w:styleId="cat-UserDefinedgrp-42rplc-68">
    <w:name w:val="cat-UserDefined grp-42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5" Type="http://schemas.openxmlformats.org/officeDocument/2006/relationships/hyperlink" Target="http://www.consultant.ru/document/cons_doc_LAW_349012/db42b5c237bc640cfae0ecdcee460f87f1fb9cd3/" TargetMode="External" /><Relationship Id="rId6" Type="http://schemas.openxmlformats.org/officeDocument/2006/relationships/hyperlink" Target="http://www.consultant.ru/document/cons_doc_LAW_349012/74cbe820904f4f8ce76047ddbd81d14c8b953d3e/" TargetMode="External" /><Relationship Id="rId7" Type="http://schemas.openxmlformats.org/officeDocument/2006/relationships/hyperlink" Target="http://www.consultant.ru/document/cons_doc_LAW_349012/30652b56dc31f25e043cecc891a1b6c6d342b564/" TargetMode="External" /><Relationship Id="rId8" Type="http://schemas.openxmlformats.org/officeDocument/2006/relationships/hyperlink" Target="http://www.consultant.ru/document/cons_doc_LAW_365278/2589a95e710dff5a9cba25e223c5d03303e8f45f/" TargetMode="External" /><Relationship Id="rId9" Type="http://schemas.openxmlformats.org/officeDocument/2006/relationships/hyperlink" Target="http://www.consultant.ru/document/cons_doc_LAW_365278/8e1db11085c966408d1ce0191aef369706a76759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